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275"/>
        <w:gridCol w:w="4977"/>
        <w:gridCol w:w="3708"/>
      </w:tblGrid>
      <w:tr w:rsidR="004B6B01" w:rsidRPr="004B6B01" w:rsidTr="004B6B01">
        <w:trPr>
          <w:tblCellSpacing w:w="15" w:type="dxa"/>
        </w:trPr>
        <w:tc>
          <w:tcPr>
            <w:tcW w:w="1500" w:type="pct"/>
            <w:shd w:val="clear" w:color="auto" w:fill="FFFFFF"/>
            <w:tcMar>
              <w:top w:w="30" w:type="dxa"/>
              <w:left w:w="30" w:type="dxa"/>
              <w:bottom w:w="30" w:type="dxa"/>
              <w:right w:w="30" w:type="dxa"/>
            </w:tcMar>
            <w:hideMark/>
          </w:tcPr>
          <w:p w:rsidR="004B6B01" w:rsidRPr="004B6B01" w:rsidRDefault="00AC2096" w:rsidP="004B6B0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264795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LDS.gif"/>
                          <pic:cNvPicPr/>
                        </pic:nvPicPr>
                        <pic:blipFill>
                          <a:blip r:embed="rId4">
                            <a:extLst>
                              <a:ext uri="{28A0092B-C50C-407E-A947-70E740481C1C}">
                                <a14:useLocalDpi xmlns:a14="http://schemas.microsoft.com/office/drawing/2010/main" val="0"/>
                              </a:ext>
                            </a:extLst>
                          </a:blip>
                          <a:stretch>
                            <a:fillRect/>
                          </a:stretch>
                        </pic:blipFill>
                        <pic:spPr>
                          <a:xfrm>
                            <a:off x="0" y="0"/>
                            <a:ext cx="2647950" cy="609600"/>
                          </a:xfrm>
                          <a:prstGeom prst="rect">
                            <a:avLst/>
                          </a:prstGeom>
                        </pic:spPr>
                      </pic:pic>
                    </a:graphicData>
                  </a:graphic>
                </wp:inline>
              </w:drawing>
            </w:r>
          </w:p>
        </w:tc>
        <w:tc>
          <w:tcPr>
            <w:tcW w:w="2000" w:type="pct"/>
            <w:shd w:val="clear" w:color="auto" w:fill="FFFFFF"/>
            <w:tcMar>
              <w:top w:w="30" w:type="dxa"/>
              <w:left w:w="30" w:type="dxa"/>
              <w:bottom w:w="30" w:type="dxa"/>
              <w:right w:w="30" w:type="dxa"/>
            </w:tcMar>
            <w:vAlign w:val="bottom"/>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color w:val="000000"/>
                <w:sz w:val="27"/>
                <w:szCs w:val="27"/>
              </w:rPr>
              <w:t>School Default Rates </w:t>
            </w:r>
            <w:r w:rsidRPr="004B6B01">
              <w:rPr>
                <w:rFonts w:ascii="Arial" w:eastAsia="Times New Roman" w:hAnsi="Arial" w:cs="Arial"/>
                <w:color w:val="000000"/>
                <w:sz w:val="27"/>
                <w:szCs w:val="27"/>
              </w:rPr>
              <w:br/>
              <w:t>FY 2015, 2014, and 2013</w:t>
            </w:r>
          </w:p>
        </w:tc>
        <w:tc>
          <w:tcPr>
            <w:tcW w:w="1500" w:type="pct"/>
            <w:shd w:val="clear" w:color="auto" w:fill="FFFFFF"/>
            <w:tcMar>
              <w:top w:w="30" w:type="dxa"/>
              <w:left w:w="30" w:type="dxa"/>
              <w:bottom w:w="30" w:type="dxa"/>
              <w:right w:w="30" w:type="dxa"/>
            </w:tcMar>
            <w:hideMark/>
          </w:tcPr>
          <w:p w:rsidR="004B6B01" w:rsidRPr="004B6B01" w:rsidRDefault="004B6B01" w:rsidP="004B6B01">
            <w:pPr>
              <w:spacing w:after="0" w:line="240" w:lineRule="auto"/>
              <w:rPr>
                <w:rFonts w:ascii="Times New Roman" w:eastAsia="Times New Roman" w:hAnsi="Times New Roman" w:cs="Times New Roman"/>
                <w:color w:val="222222"/>
                <w:sz w:val="24"/>
                <w:szCs w:val="24"/>
              </w:rPr>
            </w:pPr>
          </w:p>
        </w:tc>
      </w:tr>
    </w:tbl>
    <w:p w:rsidR="004B6B01" w:rsidRPr="004B6B01" w:rsidRDefault="004B6B01" w:rsidP="004B6B01">
      <w:pPr>
        <w:shd w:val="clear" w:color="auto" w:fill="FFFFFF"/>
        <w:spacing w:after="0" w:line="240" w:lineRule="auto"/>
        <w:rPr>
          <w:rFonts w:ascii="Times New Roman" w:eastAsia="Times New Roman" w:hAnsi="Times New Roman" w:cs="Times New Roman"/>
          <w:color w:val="222222"/>
          <w:sz w:val="24"/>
          <w:szCs w:val="24"/>
        </w:rPr>
      </w:pPr>
      <w:r w:rsidRPr="004B6B01">
        <w:rPr>
          <w:rFonts w:ascii="Times New Roman" w:eastAsia="Times New Roman" w:hAnsi="Times New Roman" w:cs="Times New Roman"/>
          <w:color w:val="222222"/>
          <w:sz w:val="24"/>
          <w:szCs w:val="24"/>
        </w:rPr>
        <w:t> </w:t>
      </w:r>
    </w:p>
    <w:p w:rsidR="004B6B01" w:rsidRPr="004B6B01" w:rsidRDefault="004B6B01" w:rsidP="004B6B01">
      <w:pPr>
        <w:shd w:val="clear" w:color="auto" w:fill="FFFFFF"/>
        <w:spacing w:after="0" w:line="240" w:lineRule="auto"/>
        <w:jc w:val="center"/>
        <w:rPr>
          <w:rFonts w:ascii="Arial" w:eastAsia="Times New Roman" w:hAnsi="Arial" w:cs="Arial"/>
          <w:color w:val="222222"/>
          <w:sz w:val="24"/>
          <w:szCs w:val="24"/>
        </w:rPr>
      </w:pPr>
      <w:r w:rsidRPr="004B6B01">
        <w:rPr>
          <w:rFonts w:ascii="Arial" w:eastAsia="Times New Roman" w:hAnsi="Arial" w:cs="Arial"/>
          <w:color w:val="222222"/>
          <w:sz w:val="24"/>
          <w:szCs w:val="24"/>
        </w:rPr>
        <w:pict>
          <v:rect id="_x0000_i1025" style="width:468pt;height:1.2pt" o:hralign="center" o:hrstd="t" o:hrnoshade="t" o:hr="t" fillcolor="black" stroked="f"/>
        </w:pict>
      </w:r>
    </w:p>
    <w:p w:rsidR="004B6B01" w:rsidRPr="004B6B01" w:rsidRDefault="004B6B01" w:rsidP="004B6B01">
      <w:pPr>
        <w:shd w:val="clear" w:color="auto" w:fill="FFFFFF"/>
        <w:spacing w:after="0" w:line="240" w:lineRule="auto"/>
        <w:rPr>
          <w:rFonts w:ascii="Times New Roman" w:eastAsia="Times New Roman" w:hAnsi="Times New Roman" w:cs="Times New Roman"/>
          <w:color w:val="222222"/>
          <w:sz w:val="24"/>
          <w:szCs w:val="24"/>
        </w:rPr>
      </w:pPr>
      <w:r w:rsidRPr="004B6B01">
        <w:rPr>
          <w:rFonts w:ascii="Times New Roman" w:eastAsia="Times New Roman" w:hAnsi="Times New Roman" w:cs="Times New Roman"/>
          <w:color w:val="222222"/>
          <w:sz w:val="24"/>
          <w:szCs w:val="24"/>
        </w:rPr>
        <w:t> </w:t>
      </w:r>
    </w:p>
    <w:p w:rsidR="004B6B01" w:rsidRPr="004B6B01" w:rsidRDefault="004B6B01" w:rsidP="004B6B01">
      <w:pPr>
        <w:shd w:val="clear" w:color="auto" w:fill="FFFFFF"/>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b/>
          <w:bCs/>
          <w:color w:val="000000"/>
          <w:sz w:val="18"/>
          <w:szCs w:val="18"/>
        </w:rPr>
        <w:t>Record 1 of 1</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8"/>
        <w:gridCol w:w="3255"/>
        <w:gridCol w:w="930"/>
        <w:gridCol w:w="891"/>
        <w:gridCol w:w="1236"/>
        <w:gridCol w:w="2748"/>
        <w:gridCol w:w="1012"/>
        <w:gridCol w:w="1012"/>
        <w:gridCol w:w="1012"/>
      </w:tblGrid>
      <w:tr w:rsidR="004B6B01" w:rsidRPr="004B6B01" w:rsidTr="004B6B0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b/>
                <w:bCs/>
                <w:color w:val="000000"/>
                <w:sz w:val="20"/>
                <w:szCs w:val="20"/>
              </w:rPr>
              <w:t>OPE ID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b/>
                <w:bCs/>
                <w:color w:val="000000"/>
                <w:sz w:val="20"/>
                <w:szCs w:val="20"/>
              </w:rPr>
              <w:t>School</w:t>
            </w:r>
          </w:p>
        </w:tc>
        <w:tc>
          <w:tcPr>
            <w:tcW w:w="2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b/>
                <w:bCs/>
                <w:color w:val="000000"/>
                <w:sz w:val="20"/>
                <w:szCs w:val="20"/>
              </w:rPr>
              <w:t>Type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b/>
                <w:bCs/>
                <w:color w:val="000000"/>
                <w:sz w:val="20"/>
                <w:szCs w:val="20"/>
              </w:rPr>
              <w:t>Control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b/>
                <w:bCs/>
                <w:color w:val="000000"/>
                <w:sz w:val="20"/>
                <w:szCs w:val="20"/>
              </w:rPr>
              <w:t>PRGMS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rPr>
                <w:rFonts w:ascii="Times New Roman" w:eastAsia="Times New Roman" w:hAnsi="Times New Roman" w:cs="Times New Roman"/>
                <w:color w:val="222222"/>
                <w:sz w:val="24"/>
                <w:szCs w:val="24"/>
              </w:rPr>
            </w:pPr>
            <w:r w:rsidRPr="004B6B01">
              <w:rPr>
                <w:rFonts w:ascii="Arial" w:eastAsia="Times New Roman" w:hAnsi="Arial" w:cs="Arial"/>
                <w:b/>
                <w:bCs/>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b/>
                <w:bCs/>
                <w:color w:val="000000"/>
                <w:sz w:val="20"/>
                <w:szCs w:val="20"/>
              </w:rPr>
              <w:t>FY2015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b/>
                <w:bCs/>
                <w:color w:val="000000"/>
                <w:sz w:val="20"/>
                <w:szCs w:val="20"/>
              </w:rPr>
              <w:t>FY2014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b/>
                <w:bCs/>
                <w:color w:val="000000"/>
                <w:sz w:val="20"/>
                <w:szCs w:val="20"/>
              </w:rPr>
              <w:t>FY2013</w:t>
            </w:r>
          </w:p>
        </w:tc>
      </w:tr>
      <w:tr w:rsidR="004B6B01" w:rsidRPr="004B6B01" w:rsidTr="004B6B01">
        <w:trPr>
          <w:tblCellSpacing w:w="0" w:type="dxa"/>
        </w:trPr>
        <w:tc>
          <w:tcPr>
            <w:tcW w:w="120"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color w:val="000000"/>
                <w:sz w:val="20"/>
                <w:szCs w:val="20"/>
              </w:rPr>
              <w:t>003723</w:t>
            </w:r>
          </w:p>
        </w:tc>
        <w:tc>
          <w:tcPr>
            <w:tcW w:w="3255"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rPr>
                <w:rFonts w:ascii="Times New Roman" w:eastAsia="Times New Roman" w:hAnsi="Times New Roman" w:cs="Times New Roman"/>
                <w:color w:val="222222"/>
                <w:sz w:val="24"/>
                <w:szCs w:val="24"/>
              </w:rPr>
            </w:pPr>
            <w:r w:rsidRPr="004B6B01">
              <w:rPr>
                <w:rFonts w:ascii="Arial" w:eastAsia="Times New Roman" w:hAnsi="Arial" w:cs="Arial"/>
                <w:color w:val="000000"/>
                <w:sz w:val="20"/>
                <w:szCs w:val="20"/>
              </w:rPr>
              <w:t>MARY BALDWIN UNIVERSITY</w:t>
            </w:r>
            <w:r w:rsidRPr="004B6B01">
              <w:rPr>
                <w:rFonts w:ascii="Arial" w:eastAsia="Times New Roman" w:hAnsi="Arial" w:cs="Arial"/>
                <w:color w:val="000000"/>
                <w:sz w:val="20"/>
                <w:szCs w:val="20"/>
              </w:rPr>
              <w:br/>
              <w:t>FREDERICK AND NEW STREETS</w:t>
            </w:r>
            <w:r w:rsidRPr="004B6B01">
              <w:rPr>
                <w:rFonts w:ascii="Arial" w:eastAsia="Times New Roman" w:hAnsi="Arial" w:cs="Arial"/>
                <w:color w:val="000000"/>
                <w:sz w:val="20"/>
                <w:szCs w:val="20"/>
              </w:rPr>
              <w:br/>
              <w:t>STAUNTON   VA  24401-3610 </w:t>
            </w:r>
          </w:p>
        </w:tc>
        <w:tc>
          <w:tcPr>
            <w:tcW w:w="270"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color w:val="000000"/>
                <w:sz w:val="20"/>
                <w:szCs w:val="20"/>
              </w:rPr>
              <w:t>Master's Degree or Doctor's Degree</w:t>
            </w:r>
          </w:p>
        </w:tc>
        <w:tc>
          <w:tcPr>
            <w:tcW w:w="120"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color w:val="000000"/>
                <w:sz w:val="20"/>
                <w:szCs w:val="20"/>
              </w:rPr>
              <w:t>Private</w:t>
            </w:r>
          </w:p>
        </w:tc>
        <w:tc>
          <w:tcPr>
            <w:tcW w:w="120"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color w:val="000000"/>
                <w:sz w:val="20"/>
                <w:szCs w:val="20"/>
              </w:rPr>
              <w:t>Both (FFEL/FDL)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rPr>
                <w:rFonts w:ascii="Times New Roman" w:eastAsia="Times New Roman" w:hAnsi="Times New Roman" w:cs="Times New Roman"/>
                <w:color w:val="222222"/>
                <w:sz w:val="24"/>
                <w:szCs w:val="24"/>
              </w:rPr>
            </w:pPr>
            <w:r w:rsidRPr="004B6B01">
              <w:rPr>
                <w:rFonts w:ascii="Arial" w:eastAsia="Times New Roman" w:hAnsi="Arial" w:cs="Arial"/>
                <w:b/>
                <w:bCs/>
                <w:color w:val="000000"/>
                <w:sz w:val="20"/>
                <w:szCs w:val="20"/>
              </w:rPr>
              <w:t>Default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color w:val="000000"/>
                <w:sz w:val="18"/>
                <w:szCs w:val="18"/>
              </w:rPr>
              <w:t> 7.4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color w:val="000000"/>
                <w:sz w:val="18"/>
                <w:szCs w:val="18"/>
              </w:rPr>
              <w:t> 7.8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color w:val="000000"/>
                <w:sz w:val="18"/>
                <w:szCs w:val="18"/>
              </w:rPr>
              <w:t> 7.6 </w:t>
            </w:r>
          </w:p>
        </w:tc>
      </w:tr>
      <w:tr w:rsidR="004B6B01" w:rsidRPr="004B6B01" w:rsidTr="004B6B0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B01" w:rsidRPr="004B6B01" w:rsidRDefault="004B6B01" w:rsidP="004B6B01">
            <w:pPr>
              <w:spacing w:after="0" w:line="240" w:lineRule="auto"/>
              <w:rPr>
                <w:rFonts w:ascii="Times New Roman" w:eastAsia="Times New Roman" w:hAnsi="Times New Roman" w:cs="Times New Roman"/>
                <w:color w:val="22222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B01" w:rsidRPr="004B6B01" w:rsidRDefault="004B6B01" w:rsidP="004B6B01">
            <w:pPr>
              <w:spacing w:after="0" w:line="240" w:lineRule="auto"/>
              <w:rPr>
                <w:rFonts w:ascii="Times New Roman" w:eastAsia="Times New Roman" w:hAnsi="Times New Roman" w:cs="Times New Roman"/>
                <w:color w:val="22222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B01" w:rsidRPr="004B6B01" w:rsidRDefault="004B6B01" w:rsidP="004B6B01">
            <w:pPr>
              <w:spacing w:after="0" w:line="240" w:lineRule="auto"/>
              <w:rPr>
                <w:rFonts w:ascii="Times New Roman" w:eastAsia="Times New Roman" w:hAnsi="Times New Roman" w:cs="Times New Roman"/>
                <w:color w:val="22222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B01" w:rsidRPr="004B6B01" w:rsidRDefault="004B6B01" w:rsidP="004B6B01">
            <w:pPr>
              <w:spacing w:after="0" w:line="240" w:lineRule="auto"/>
              <w:rPr>
                <w:rFonts w:ascii="Times New Roman" w:eastAsia="Times New Roman" w:hAnsi="Times New Roman" w:cs="Times New Roman"/>
                <w:color w:val="22222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B01" w:rsidRPr="004B6B01" w:rsidRDefault="004B6B01" w:rsidP="004B6B01">
            <w:pPr>
              <w:spacing w:after="0" w:line="240" w:lineRule="auto"/>
              <w:rPr>
                <w:rFonts w:ascii="Times New Roman" w:eastAsia="Times New Roman" w:hAnsi="Times New Roman" w:cs="Times New Roman"/>
                <w:color w:val="222222"/>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rPr>
                <w:rFonts w:ascii="Times New Roman" w:eastAsia="Times New Roman" w:hAnsi="Times New Roman" w:cs="Times New Roman"/>
                <w:color w:val="222222"/>
                <w:sz w:val="24"/>
                <w:szCs w:val="24"/>
              </w:rPr>
            </w:pPr>
            <w:r w:rsidRPr="004B6B01">
              <w:rPr>
                <w:rFonts w:ascii="Arial" w:eastAsia="Times New Roman" w:hAnsi="Arial" w:cs="Arial"/>
                <w:b/>
                <w:bCs/>
                <w:color w:val="000000"/>
                <w:sz w:val="20"/>
                <w:szCs w:val="20"/>
              </w:rPr>
              <w:t>No. in Default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color w:val="000000"/>
                <w:sz w:val="18"/>
                <w:szCs w:val="18"/>
              </w:rPr>
              <w:t> 50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color w:val="000000"/>
                <w:sz w:val="18"/>
                <w:szCs w:val="18"/>
              </w:rPr>
              <w:t> 41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color w:val="000000"/>
                <w:sz w:val="18"/>
                <w:szCs w:val="18"/>
              </w:rPr>
              <w:t> 57 </w:t>
            </w:r>
          </w:p>
        </w:tc>
      </w:tr>
      <w:tr w:rsidR="004B6B01" w:rsidRPr="004B6B01" w:rsidTr="004B6B0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B01" w:rsidRPr="004B6B01" w:rsidRDefault="004B6B01" w:rsidP="004B6B01">
            <w:pPr>
              <w:spacing w:after="0" w:line="240" w:lineRule="auto"/>
              <w:rPr>
                <w:rFonts w:ascii="Times New Roman" w:eastAsia="Times New Roman" w:hAnsi="Times New Roman" w:cs="Times New Roman"/>
                <w:color w:val="22222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B01" w:rsidRPr="004B6B01" w:rsidRDefault="004B6B01" w:rsidP="004B6B01">
            <w:pPr>
              <w:spacing w:after="0" w:line="240" w:lineRule="auto"/>
              <w:rPr>
                <w:rFonts w:ascii="Times New Roman" w:eastAsia="Times New Roman" w:hAnsi="Times New Roman" w:cs="Times New Roman"/>
                <w:color w:val="22222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B01" w:rsidRPr="004B6B01" w:rsidRDefault="004B6B01" w:rsidP="004B6B01">
            <w:pPr>
              <w:spacing w:after="0" w:line="240" w:lineRule="auto"/>
              <w:rPr>
                <w:rFonts w:ascii="Times New Roman" w:eastAsia="Times New Roman" w:hAnsi="Times New Roman" w:cs="Times New Roman"/>
                <w:color w:val="22222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B01" w:rsidRPr="004B6B01" w:rsidRDefault="004B6B01" w:rsidP="004B6B01">
            <w:pPr>
              <w:spacing w:after="0" w:line="240" w:lineRule="auto"/>
              <w:rPr>
                <w:rFonts w:ascii="Times New Roman" w:eastAsia="Times New Roman" w:hAnsi="Times New Roman" w:cs="Times New Roman"/>
                <w:color w:val="22222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B01" w:rsidRPr="004B6B01" w:rsidRDefault="004B6B01" w:rsidP="004B6B01">
            <w:pPr>
              <w:spacing w:after="0" w:line="240" w:lineRule="auto"/>
              <w:rPr>
                <w:rFonts w:ascii="Times New Roman" w:eastAsia="Times New Roman" w:hAnsi="Times New Roman" w:cs="Times New Roman"/>
                <w:color w:val="222222"/>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rPr>
                <w:rFonts w:ascii="Times New Roman" w:eastAsia="Times New Roman" w:hAnsi="Times New Roman" w:cs="Times New Roman"/>
                <w:color w:val="222222"/>
                <w:sz w:val="24"/>
                <w:szCs w:val="24"/>
              </w:rPr>
            </w:pPr>
            <w:r w:rsidRPr="004B6B01">
              <w:rPr>
                <w:rFonts w:ascii="Arial" w:eastAsia="Times New Roman" w:hAnsi="Arial" w:cs="Arial"/>
                <w:b/>
                <w:bCs/>
                <w:color w:val="000000"/>
                <w:sz w:val="20"/>
                <w:szCs w:val="20"/>
              </w:rPr>
              <w:t>No. in Repay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color w:val="000000"/>
                <w:sz w:val="18"/>
                <w:szCs w:val="18"/>
              </w:rPr>
              <w:t> 670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color w:val="000000"/>
                <w:sz w:val="18"/>
                <w:szCs w:val="18"/>
              </w:rPr>
              <w:t> 520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color w:val="000000"/>
                <w:sz w:val="18"/>
                <w:szCs w:val="18"/>
              </w:rPr>
              <w:t> 746 </w:t>
            </w:r>
          </w:p>
        </w:tc>
      </w:tr>
      <w:tr w:rsidR="004B6B01" w:rsidRPr="004B6B01" w:rsidTr="004B6B0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B01" w:rsidRPr="004B6B01" w:rsidRDefault="004B6B01" w:rsidP="004B6B01">
            <w:pPr>
              <w:spacing w:after="0" w:line="240" w:lineRule="auto"/>
              <w:rPr>
                <w:rFonts w:ascii="Times New Roman" w:eastAsia="Times New Roman" w:hAnsi="Times New Roman" w:cs="Times New Roman"/>
                <w:color w:val="22222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B01" w:rsidRPr="004B6B01" w:rsidRDefault="004B6B01" w:rsidP="004B6B01">
            <w:pPr>
              <w:spacing w:after="0" w:line="240" w:lineRule="auto"/>
              <w:rPr>
                <w:rFonts w:ascii="Times New Roman" w:eastAsia="Times New Roman" w:hAnsi="Times New Roman" w:cs="Times New Roman"/>
                <w:color w:val="22222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B01" w:rsidRPr="004B6B01" w:rsidRDefault="004B6B01" w:rsidP="004B6B01">
            <w:pPr>
              <w:spacing w:after="0" w:line="240" w:lineRule="auto"/>
              <w:rPr>
                <w:rFonts w:ascii="Times New Roman" w:eastAsia="Times New Roman" w:hAnsi="Times New Roman" w:cs="Times New Roman"/>
                <w:color w:val="22222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B01" w:rsidRPr="004B6B01" w:rsidRDefault="004B6B01" w:rsidP="004B6B01">
            <w:pPr>
              <w:spacing w:after="0" w:line="240" w:lineRule="auto"/>
              <w:rPr>
                <w:rFonts w:ascii="Times New Roman" w:eastAsia="Times New Roman" w:hAnsi="Times New Roman" w:cs="Times New Roman"/>
                <w:color w:val="22222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B6B01" w:rsidRPr="004B6B01" w:rsidRDefault="004B6B01" w:rsidP="004B6B01">
            <w:pPr>
              <w:spacing w:after="0" w:line="240" w:lineRule="auto"/>
              <w:rPr>
                <w:rFonts w:ascii="Times New Roman" w:eastAsia="Times New Roman" w:hAnsi="Times New Roman" w:cs="Times New Roman"/>
                <w:color w:val="222222"/>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rPr>
                <w:rFonts w:ascii="Times New Roman" w:eastAsia="Times New Roman" w:hAnsi="Times New Roman" w:cs="Times New Roman"/>
                <w:color w:val="222222"/>
                <w:sz w:val="24"/>
                <w:szCs w:val="24"/>
              </w:rPr>
            </w:pPr>
            <w:r w:rsidRPr="004B6B01">
              <w:rPr>
                <w:rFonts w:ascii="Arial" w:eastAsia="Times New Roman" w:hAnsi="Arial" w:cs="Arial"/>
                <w:b/>
                <w:bCs/>
                <w:color w:val="000000"/>
                <w:sz w:val="20"/>
                <w:szCs w:val="20"/>
              </w:rPr>
              <w:t>Enrollment figures </w:t>
            </w:r>
            <w:r w:rsidRPr="004B6B01">
              <w:rPr>
                <w:rFonts w:ascii="Arial" w:eastAsia="Times New Roman" w:hAnsi="Arial" w:cs="Arial"/>
                <w:b/>
                <w:bCs/>
                <w:color w:val="000000"/>
                <w:sz w:val="20"/>
                <w:szCs w:val="20"/>
              </w:rPr>
              <w:br/>
            </w:r>
            <w:r w:rsidRPr="004B6B01">
              <w:rPr>
                <w:rFonts w:ascii="Arial" w:eastAsia="Times New Roman" w:hAnsi="Arial" w:cs="Arial"/>
                <w:b/>
                <w:bCs/>
                <w:color w:val="000000"/>
                <w:sz w:val="20"/>
                <w:szCs w:val="20"/>
              </w:rPr>
              <w:br/>
              <w:t>Percentage Calculation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color w:val="000000"/>
                <w:sz w:val="18"/>
                <w:szCs w:val="18"/>
              </w:rPr>
              <w:t> 2,124 </w:t>
            </w:r>
            <w:r w:rsidRPr="004B6B01">
              <w:rPr>
                <w:rFonts w:ascii="Arial" w:eastAsia="Times New Roman" w:hAnsi="Arial" w:cs="Arial"/>
                <w:color w:val="000000"/>
                <w:sz w:val="18"/>
                <w:szCs w:val="18"/>
              </w:rPr>
              <w:br/>
            </w:r>
            <w:r w:rsidRPr="004B6B01">
              <w:rPr>
                <w:rFonts w:ascii="Arial" w:eastAsia="Times New Roman" w:hAnsi="Arial" w:cs="Arial"/>
                <w:color w:val="000000"/>
                <w:sz w:val="18"/>
                <w:szCs w:val="18"/>
              </w:rPr>
              <w:br/>
              <w:t>31.5 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color w:val="000000"/>
                <w:sz w:val="18"/>
                <w:szCs w:val="18"/>
              </w:rPr>
              <w:t> 2,197 </w:t>
            </w:r>
            <w:r w:rsidRPr="004B6B01">
              <w:rPr>
                <w:rFonts w:ascii="Arial" w:eastAsia="Times New Roman" w:hAnsi="Arial" w:cs="Arial"/>
                <w:color w:val="000000"/>
                <w:sz w:val="18"/>
                <w:szCs w:val="18"/>
              </w:rPr>
              <w:br/>
            </w:r>
            <w:r w:rsidRPr="004B6B01">
              <w:rPr>
                <w:rFonts w:ascii="Arial" w:eastAsia="Times New Roman" w:hAnsi="Arial" w:cs="Arial"/>
                <w:color w:val="000000"/>
                <w:sz w:val="18"/>
                <w:szCs w:val="18"/>
              </w:rPr>
              <w:br/>
              <w:t>23.6 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4B6B01" w:rsidRPr="004B6B01" w:rsidRDefault="004B6B01" w:rsidP="004B6B01">
            <w:pPr>
              <w:spacing w:after="0" w:line="240" w:lineRule="auto"/>
              <w:jc w:val="center"/>
              <w:rPr>
                <w:rFonts w:ascii="Times New Roman" w:eastAsia="Times New Roman" w:hAnsi="Times New Roman" w:cs="Times New Roman"/>
                <w:color w:val="222222"/>
                <w:sz w:val="24"/>
                <w:szCs w:val="24"/>
              </w:rPr>
            </w:pPr>
            <w:r w:rsidRPr="004B6B01">
              <w:rPr>
                <w:rFonts w:ascii="Arial" w:eastAsia="Times New Roman" w:hAnsi="Arial" w:cs="Arial"/>
                <w:color w:val="000000"/>
                <w:sz w:val="18"/>
                <w:szCs w:val="18"/>
              </w:rPr>
              <w:t> 2,226 </w:t>
            </w:r>
            <w:r w:rsidRPr="004B6B01">
              <w:rPr>
                <w:rFonts w:ascii="Arial" w:eastAsia="Times New Roman" w:hAnsi="Arial" w:cs="Arial"/>
                <w:color w:val="000000"/>
                <w:sz w:val="18"/>
                <w:szCs w:val="18"/>
              </w:rPr>
              <w:br/>
            </w:r>
            <w:r w:rsidRPr="004B6B01">
              <w:rPr>
                <w:rFonts w:ascii="Arial" w:eastAsia="Times New Roman" w:hAnsi="Arial" w:cs="Arial"/>
                <w:color w:val="000000"/>
                <w:sz w:val="18"/>
                <w:szCs w:val="18"/>
              </w:rPr>
              <w:br/>
              <w:t>33.5 </w:t>
            </w:r>
          </w:p>
        </w:tc>
      </w:tr>
    </w:tbl>
    <w:p w:rsidR="004B6B01" w:rsidRPr="004B6B01" w:rsidRDefault="004B6B01" w:rsidP="004B6B01">
      <w:pPr>
        <w:shd w:val="clear" w:color="auto" w:fill="FFFFFF"/>
        <w:spacing w:after="240" w:line="240" w:lineRule="auto"/>
        <w:rPr>
          <w:rFonts w:ascii="Times New Roman" w:eastAsia="Times New Roman" w:hAnsi="Times New Roman" w:cs="Times New Roman"/>
          <w:color w:val="222222"/>
          <w:sz w:val="24"/>
          <w:szCs w:val="24"/>
        </w:rPr>
      </w:pPr>
    </w:p>
    <w:p w:rsidR="004B6B01" w:rsidRPr="004B6B01" w:rsidRDefault="004B6B01" w:rsidP="004B6B01">
      <w:pPr>
        <w:shd w:val="clear" w:color="auto" w:fill="FFFFFF"/>
        <w:spacing w:after="0" w:line="240" w:lineRule="auto"/>
        <w:rPr>
          <w:rFonts w:ascii="Times New Roman" w:eastAsia="Times New Roman" w:hAnsi="Times New Roman" w:cs="Times New Roman"/>
          <w:color w:val="222222"/>
          <w:sz w:val="24"/>
          <w:szCs w:val="24"/>
        </w:rPr>
      </w:pPr>
      <w:r w:rsidRPr="004B6B01">
        <w:rPr>
          <w:rFonts w:ascii="Arial" w:eastAsia="Times New Roman" w:hAnsi="Arial" w:cs="Arial"/>
          <w:b/>
          <w:bCs/>
          <w:color w:val="000000"/>
          <w:sz w:val="18"/>
          <w:szCs w:val="18"/>
        </w:rPr>
        <w:t>ENROLLMENT: To provide context for the Cohort Default Rate (CDR) data we include enrollment data (students enrolled at any time during the year) and a corresponding percentage (borrowers entering repayment divided by that enrollment figure). While there is no direct relationship between the timing of when a borrower entered repayment (October 1 through September 30) and any particular enrollment year, for the purpose of these data, we have chosen to use the academic year ending on the June 30 prior to the beginning of the cohort year (e.g., FY 2015 CDR Year will use 2013-2014 enrollment).</w:t>
      </w:r>
    </w:p>
    <w:p w:rsidR="00AB7DB3" w:rsidRDefault="00AB7DB3">
      <w:bookmarkStart w:id="0" w:name="_GoBack"/>
      <w:bookmarkEnd w:id="0"/>
    </w:p>
    <w:sectPr w:rsidR="00AB7DB3" w:rsidSect="004B6B0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01"/>
    <w:rsid w:val="004B6B01"/>
    <w:rsid w:val="00AB7DB3"/>
    <w:rsid w:val="00AC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0E9AA-B10D-4311-B321-B7B52127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Maerki, Teri Vreuls</dc:creator>
  <cp:keywords/>
  <dc:description/>
  <cp:lastModifiedBy>Maerki, Teri Vreuls</cp:lastModifiedBy>
  <cp:revision>1</cp:revision>
  <dcterms:created xsi:type="dcterms:W3CDTF">2019-04-29T13:35:00Z</dcterms:created>
  <dcterms:modified xsi:type="dcterms:W3CDTF">2019-04-29T14:47:00Z</dcterms:modified>
</cp:coreProperties>
</file>